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8001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57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ОБРАЗОВАНИЯ И НАУКИ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 – 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168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ОБРАЗОВАНИЯ И НАУКИ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 – 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39370</wp:posOffset>
                </wp:positionV>
                <wp:extent cx="5805170" cy="1520994"/>
                <wp:effectExtent l="6350" t="6350" r="6350" b="635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805169" cy="152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проведени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государственной итоговой аттестации 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образовательным программам среднего общего образования, единого государственного экзамена на территории Ханты-Мансийского автономного округа – Югры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основные дни (10, 11 июня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основного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период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 в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0.05pt;mso-position-horizontal:absolute;mso-position-vertical-relative:text;margin-top:3.10pt;mso-position-vertical:absolute;width:457.10pt;height:119.7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О проведени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государственной итоговой аттестации </w:t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 образовательным программам среднего общего образования, единого государственного экзамена на территории Ханты-Мансийского автономного округа – Югры в </w:t>
                      </w:r>
                      <w:r>
                        <w:rPr>
                          <w:sz w:val="28"/>
                          <w:szCs w:val="28"/>
                        </w:rPr>
                        <w:t xml:space="preserve">основные дни (10, 11 июня</w:t>
                      </w:r>
                      <w:r>
                        <w:rPr>
                          <w:sz w:val="28"/>
                          <w:szCs w:val="28"/>
                        </w:rPr>
                        <w:t xml:space="preserve"> 2025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года)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основного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период</w:t>
                      </w:r>
                      <w:r>
                        <w:rPr>
                          <w:sz w:val="28"/>
                          <w:szCs w:val="28"/>
                        </w:rPr>
                        <w:t xml:space="preserve">а в 202</w:t>
                      </w: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[Дата документа]                                                                                  №  [Номер документа]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tabs>
          <w:tab w:val="left" w:pos="9498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Ханты-Мансийск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50"/>
        <w:jc w:val="both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Порядком проведения госуда</w:t>
      </w:r>
      <w:r>
        <w:rPr>
          <w:sz w:val="28"/>
          <w:szCs w:val="28"/>
        </w:rPr>
        <w:t xml:space="preserve">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</w:t>
        <w:br/>
        <w:t xml:space="preserve">и науки от 4 апреля 2023 года № 233/552 (далее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Порядок проведения ГИА-11), </w:t>
      </w:r>
      <w:r>
        <w:rPr>
          <w:sz w:val="28"/>
          <w:szCs w:val="28"/>
        </w:rPr>
        <w:t xml:space="preserve">единым расписанием проведения единого государственного экзамена по каждому учебному предмету, утвержденным приказом Министерства просвещения Российской Федерации и Федеральной службы по</w:t>
      </w:r>
      <w:r>
        <w:rPr>
          <w:sz w:val="28"/>
          <w:szCs w:val="28"/>
        </w:rPr>
        <w:t xml:space="preserve"> надзору в сфере образования и науки </w:t>
      </w:r>
      <w:r>
        <w:rPr>
          <w:sz w:val="28"/>
          <w:szCs w:val="28"/>
        </w:rPr>
        <w:t xml:space="preserve">от 11.11.2024 № 787/2089, </w:t>
      </w:r>
      <w:r>
        <w:rPr>
          <w:sz w:val="28"/>
          <w:szCs w:val="28"/>
        </w:rPr>
        <w:t xml:space="preserve">един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государственного выпускного экзамена по образовательным программам среднего общего образования по каждому учебному предмету,</w:t>
      </w:r>
      <w:r>
        <w:rPr>
          <w:sz w:val="28"/>
          <w:szCs w:val="28"/>
        </w:rPr>
        <w:t xml:space="preserve"> утвержденным приказом Министерства просвещения Российской Федерации  Федеральной службы по надзору в сфере образования и науки от 11.11.2024 № </w:t>
      </w:r>
      <w:r>
        <w:rPr>
          <w:sz w:val="28"/>
          <w:szCs w:val="28"/>
        </w:rPr>
        <w:t xml:space="preserve">789/2091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Департамента образования и </w:t>
      </w:r>
      <w:r>
        <w:rPr>
          <w:sz w:val="28"/>
          <w:szCs w:val="28"/>
        </w:rPr>
        <w:t xml:space="preserve">науки</w:t>
      </w:r>
      <w:r>
        <w:rPr>
          <w:sz w:val="28"/>
          <w:szCs w:val="28"/>
        </w:rPr>
        <w:t xml:space="preserve"> Ханты-Мансийского автономного округа – Югры </w:t>
        <w:br/>
        <w:t xml:space="preserve">от 21 </w:t>
      </w:r>
      <w:r>
        <w:rPr>
          <w:sz w:val="28"/>
          <w:szCs w:val="28"/>
        </w:rPr>
        <w:t xml:space="preserve">мая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10-П-1025 «</w:t>
      </w:r>
      <w:r>
        <w:rPr>
          <w:sz w:val="28"/>
          <w:szCs w:val="28"/>
        </w:rPr>
        <w:t xml:space="preserve">Об организации проведения государственной итоговой аттестации </w:t>
      </w:r>
      <w:r>
        <w:rPr>
          <w:sz w:val="28"/>
          <w:szCs w:val="28"/>
        </w:rPr>
        <w:t xml:space="preserve">по образовательным программам среднего общего образования, единого </w:t>
      </w:r>
      <w:r>
        <w:rPr>
          <w:sz w:val="28"/>
          <w:szCs w:val="28"/>
        </w:rPr>
        <w:t xml:space="preserve">государственного экзамена </w:t>
        <w:br/>
        <w:t xml:space="preserve">на территории Ханты-Мансийского </w:t>
      </w:r>
      <w:r>
        <w:rPr>
          <w:sz w:val="28"/>
          <w:szCs w:val="28"/>
        </w:rPr>
        <w:t xml:space="preserve">автономного округа – Югры </w:t>
        <w:br/>
        <w:t xml:space="preserve">в основной период в 2025 году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проведения государственной итоговой аттестации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образовательным программам среднего общего образования, единого </w:t>
      </w:r>
      <w:r>
        <w:rPr>
          <w:sz w:val="28"/>
          <w:szCs w:val="28"/>
        </w:rPr>
        <w:t xml:space="preserve">государственного экзамена (далее </w:t>
        <w:br/>
        <w:t xml:space="preserve">– ГИА-11, ЕГЭ)</w:t>
      </w:r>
      <w:r>
        <w:rPr>
          <w:sz w:val="28"/>
          <w:szCs w:val="28"/>
        </w:rPr>
        <w:t xml:space="preserve"> в основные дни </w:t>
      </w:r>
      <w:r>
        <w:rPr>
          <w:sz w:val="28"/>
          <w:szCs w:val="28"/>
        </w:rPr>
        <w:t xml:space="preserve">(10</w:t>
      </w:r>
      <w:r>
        <w:rPr>
          <w:sz w:val="28"/>
          <w:szCs w:val="28"/>
        </w:rPr>
        <w:t xml:space="preserve">, 11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года)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в 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ind w:right="350" w:firstLine="709"/>
        <w:jc w:val="both"/>
      </w:pPr>
      <w:r>
        <w:rPr>
          <w:sz w:val="28"/>
          <w:szCs w:val="28"/>
        </w:rPr>
        <w:t xml:space="preserve">ПРИКАЗЫВАЮ:</w:t>
      </w:r>
      <w:r/>
    </w:p>
    <w:p>
      <w:pPr>
        <w:pStyle w:val="1009"/>
        <w:ind w:firstLine="72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ind w:firstLine="72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Ханты-Мансийского автономного</w:t>
      </w:r>
      <w:r>
        <w:rPr>
          <w:sz w:val="28"/>
          <w:szCs w:val="28"/>
        </w:rPr>
        <w:br/>
        <w:t xml:space="preserve">округа – Югры в </w:t>
      </w:r>
      <w:r>
        <w:rPr>
          <w:sz w:val="28"/>
          <w:szCs w:val="28"/>
        </w:rPr>
        <w:t xml:space="preserve">основные дни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ГИА-11, </w:t>
      </w:r>
      <w:r>
        <w:rPr>
          <w:sz w:val="28"/>
          <w:szCs w:val="28"/>
        </w:rPr>
        <w:t xml:space="preserve">ЕГЭ</w:t>
      </w:r>
      <w:r>
        <w:rPr>
          <w:sz w:val="28"/>
          <w:szCs w:val="28"/>
        </w:rPr>
        <w:t xml:space="preserve"> по учебным предметам: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ind w:firstLine="72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«Информатика</w:t>
      </w:r>
      <w:r>
        <w:rPr>
          <w:sz w:val="28"/>
          <w:szCs w:val="28"/>
        </w:rPr>
        <w:t xml:space="preserve">» в компьютерной форме (КЕГЭ), «английский язык», «немецкий язык», «французский язык», «испанский язык»</w:t>
      </w:r>
      <w:r>
        <w:rPr>
          <w:sz w:val="28"/>
          <w:szCs w:val="28"/>
        </w:rPr>
        <w:t xml:space="preserve"> (устная часть) (10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ind w:firstLine="720"/>
        <w:jc w:val="both"/>
        <w:spacing w:after="0"/>
        <w:rPr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«Информатика</w:t>
      </w:r>
      <w:r>
        <w:rPr>
          <w:sz w:val="28"/>
          <w:szCs w:val="28"/>
        </w:rPr>
        <w:t xml:space="preserve">» в компьютерной форме (КЕГЭ), «английский язык»</w:t>
      </w:r>
      <w:r>
        <w:rPr>
          <w:sz w:val="28"/>
          <w:szCs w:val="28"/>
        </w:rPr>
        <w:t xml:space="preserve"> (устная часть) (11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Рекомендовать руководителям органов местного самоуправления муниципальных образований Ханты-Мансийского автономного округа </w:t>
        <w:br/>
        <w:t xml:space="preserve">– Югры, осуществляющих управление в сфере образования</w:t>
      </w:r>
      <w:r>
        <w:rPr>
          <w:sz w:val="28"/>
          <w:szCs w:val="28"/>
        </w:rPr>
        <w:t xml:space="preserve">:</w:t>
      </w:r>
      <w:r/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2.1. Обеспечить своевременное планирование участников экзаменов, лиц, привлекаемых к организации проведения экзаменов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пунктах проведения экзаменов в основные дни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10, 11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)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году.</w:t>
      </w:r>
      <w:r/>
    </w:p>
    <w:p>
      <w:pPr>
        <w:ind w:firstLine="709"/>
        <w:jc w:val="both"/>
        <w:spacing w:line="252" w:lineRule="auto"/>
        <w:tabs>
          <w:tab w:val="left" w:pos="851" w:leader="none"/>
        </w:tabs>
      </w:pP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Создать условия для проведения ГИА-11, ЕГЭ</w:t>
      </w:r>
      <w:r>
        <w:rPr>
          <w:sz w:val="28"/>
          <w:szCs w:val="28"/>
        </w:rPr>
        <w:t xml:space="preserve"> по учебн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предметам: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«информатика</w:t>
      </w:r>
      <w:r>
        <w:rPr>
          <w:sz w:val="28"/>
          <w:szCs w:val="28"/>
        </w:rPr>
        <w:t xml:space="preserve">» в компьютерной форме (КЕГЭ), «английский язык», «немецкий язык», «французский язык», «испанский язык»</w:t>
      </w:r>
      <w:r>
        <w:rPr>
          <w:sz w:val="28"/>
          <w:szCs w:val="28"/>
        </w:rPr>
        <w:t xml:space="preserve"> (устная часть) (10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«информатика</w:t>
      </w:r>
      <w:r>
        <w:rPr>
          <w:sz w:val="28"/>
          <w:szCs w:val="28"/>
        </w:rPr>
        <w:t xml:space="preserve">» в компьютерной форме (КЕГЭ), «английский язык»</w:t>
      </w:r>
      <w:r>
        <w:rPr>
          <w:sz w:val="28"/>
          <w:szCs w:val="28"/>
        </w:rPr>
        <w:t xml:space="preserve"> (устная часть) (11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 в основные дни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в том числе согласно </w:t>
      </w:r>
      <w:r>
        <w:rPr>
          <w:rFonts w:eastAsia="Calibri"/>
          <w:sz w:val="28"/>
          <w:szCs w:val="28"/>
        </w:rPr>
        <w:t xml:space="preserve">методическим документам</w:t>
      </w:r>
      <w:r>
        <w:t xml:space="preserve"> </w:t>
      </w:r>
      <w:r>
        <w:rPr>
          <w:rFonts w:eastAsia="Calibri"/>
          <w:sz w:val="28"/>
          <w:szCs w:val="28"/>
        </w:rPr>
        <w:t xml:space="preserve">и материал</w:t>
      </w:r>
      <w:r>
        <w:rPr>
          <w:rFonts w:eastAsia="Calibri"/>
          <w:sz w:val="28"/>
          <w:szCs w:val="28"/>
        </w:rPr>
        <w:t xml:space="preserve">ам, рекомендованным Федеральной службой по надзору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сфере образования и науки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 использованию при организации и проведении ГИА-11 </w:t>
      </w:r>
      <w:r>
        <w:rPr>
          <w:rFonts w:eastAsia="Calibri"/>
          <w:sz w:val="28"/>
          <w:szCs w:val="28"/>
        </w:rPr>
        <w:t xml:space="preserve">в 2025</w:t>
      </w:r>
      <w:r>
        <w:rPr>
          <w:rFonts w:eastAsia="Calibri"/>
          <w:sz w:val="28"/>
          <w:szCs w:val="28"/>
        </w:rPr>
        <w:t xml:space="preserve"> году (письмо </w:t>
      </w: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22</w:t>
      </w:r>
      <w:r>
        <w:rPr>
          <w:rFonts w:eastAsia="Calibri"/>
          <w:sz w:val="28"/>
          <w:szCs w:val="28"/>
        </w:rPr>
        <w:t xml:space="preserve"> января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2025</w:t>
      </w:r>
      <w:r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 xml:space="preserve">04-15</w:t>
      </w:r>
      <w:r>
        <w:rPr>
          <w:rFonts w:eastAsia="Calibri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spacing w:line="252" w:lineRule="auto"/>
        <w:tabs>
          <w:tab w:val="left" w:pos="851" w:leader="none"/>
        </w:tabs>
      </w:pPr>
      <w:r>
        <w:rPr>
          <w:color w:val="000000"/>
          <w:sz w:val="28"/>
          <w:szCs w:val="28"/>
        </w:rPr>
        <w:t xml:space="preserve">2.3. Довести настоящий приказ до сведения руководителей пунктов проведения ГИА-11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ЕГЭ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учебн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предметам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«информатика</w:t>
      </w:r>
      <w:r>
        <w:rPr>
          <w:sz w:val="28"/>
          <w:szCs w:val="28"/>
        </w:rPr>
        <w:t xml:space="preserve">» </w:t>
        <w:br/>
        <w:t xml:space="preserve">в компьютерной форме (КЕГЭ), «английский язык», «немецкий язык», «французский язык», «испанский язык»</w:t>
      </w:r>
      <w:r>
        <w:rPr>
          <w:sz w:val="28"/>
          <w:szCs w:val="28"/>
        </w:rPr>
        <w:t xml:space="preserve"> (устная часть) (10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«информатика</w:t>
      </w:r>
      <w:r>
        <w:rPr>
          <w:sz w:val="28"/>
          <w:szCs w:val="28"/>
        </w:rPr>
        <w:t xml:space="preserve">» в компьютерной форме (КЕГЭ), «английский язык»</w:t>
      </w:r>
      <w:r>
        <w:rPr>
          <w:sz w:val="28"/>
          <w:szCs w:val="28"/>
        </w:rPr>
        <w:t xml:space="preserve"> (устная часть) (11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основные дни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</w:t>
        <w:br/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2.4. </w:t>
      </w:r>
      <w:r>
        <w:rPr>
          <w:sz w:val="28"/>
          <w:szCs w:val="28"/>
        </w:rPr>
        <w:t xml:space="preserve">Обеспечить соблюдение условий конфиденциальности </w:t>
      </w:r>
      <w:r>
        <w:rPr>
          <w:sz w:val="28"/>
          <w:szCs w:val="28"/>
        </w:rPr>
        <w:br/>
        <w:t xml:space="preserve">и информационной безопасности при приемке-передаче экзаменационных материалов в каждый основной экзаменационный день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(10</w:t>
      </w:r>
      <w:r>
        <w:rPr>
          <w:sz w:val="28"/>
          <w:szCs w:val="28"/>
        </w:rPr>
        <w:t xml:space="preserve">, 11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Автономному учреждению дополнительного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функции Регионального центра обработки информации (</w:t>
      </w:r>
      <w:r>
        <w:rPr>
          <w:sz w:val="28"/>
          <w:szCs w:val="28"/>
        </w:rPr>
        <w:t xml:space="preserve">Клюсова</w:t>
      </w:r>
      <w:r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В.), обеспечить:</w:t>
      </w:r>
      <w:r/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 Утверждение распределенных автоматизированным способом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ГИА-11, ЕГЭ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лиц, привлекаемых к организации проведения ГИА-11, ЕГЭ, с</w:t>
      </w:r>
      <w:r>
        <w:rPr>
          <w:sz w:val="28"/>
          <w:szCs w:val="28"/>
        </w:rPr>
        <w:t xml:space="preserve">формир</w:t>
      </w:r>
      <w:r>
        <w:rPr>
          <w:sz w:val="28"/>
          <w:szCs w:val="28"/>
        </w:rPr>
        <w:t xml:space="preserve">ованных</w:t>
      </w:r>
      <w:r>
        <w:rPr>
          <w:sz w:val="28"/>
          <w:szCs w:val="28"/>
        </w:rPr>
        <w:t xml:space="preserve"> организационно-технологическ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схем проведения </w:t>
      </w:r>
      <w:r>
        <w:rPr>
          <w:sz w:val="28"/>
          <w:szCs w:val="28"/>
        </w:rPr>
        <w:t xml:space="preserve">экзамена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Ханты-Мансийском автономном округе – Югре </w:t>
      </w:r>
      <w:r>
        <w:rPr>
          <w:sz w:val="28"/>
          <w:szCs w:val="28"/>
        </w:rPr>
        <w:t xml:space="preserve">на каждый </w:t>
      </w:r>
      <w:r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 xml:space="preserve">экзаменационный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(10, 11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)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</w:t>
      </w:r>
      <w:r>
        <w:rPr>
          <w:sz w:val="28"/>
          <w:szCs w:val="28"/>
        </w:rPr>
        <w:t xml:space="preserve"> году.</w:t>
      </w:r>
      <w:r/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Своевременную</w:t>
      </w:r>
      <w:r>
        <w:rPr>
          <w:sz w:val="28"/>
          <w:szCs w:val="28"/>
        </w:rPr>
        <w:t xml:space="preserve"> передачу </w:t>
      </w:r>
      <w:r>
        <w:rPr>
          <w:sz w:val="28"/>
          <w:szCs w:val="28"/>
        </w:rPr>
        <w:t xml:space="preserve">утвержденных списков распределения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ГИА-11</w:t>
      </w:r>
      <w:r>
        <w:rPr>
          <w:sz w:val="28"/>
          <w:szCs w:val="28"/>
        </w:rPr>
        <w:t xml:space="preserve">, ЕГЭ</w:t>
      </w:r>
      <w:r>
        <w:rPr>
          <w:sz w:val="28"/>
          <w:szCs w:val="28"/>
        </w:rPr>
        <w:t xml:space="preserve">, сформированных </w:t>
      </w:r>
      <w:r>
        <w:rPr>
          <w:sz w:val="28"/>
          <w:szCs w:val="28"/>
        </w:rPr>
        <w:t xml:space="preserve">в РИС ГИА </w:t>
      </w:r>
      <w:r>
        <w:rPr>
          <w:sz w:val="28"/>
          <w:szCs w:val="28"/>
        </w:rPr>
        <w:t xml:space="preserve">организационно-технологическ</w:t>
      </w:r>
      <w:r>
        <w:rPr>
          <w:sz w:val="28"/>
          <w:szCs w:val="28"/>
        </w:rPr>
        <w:t xml:space="preserve">их схем</w:t>
      </w:r>
      <w:r>
        <w:rPr>
          <w:sz w:val="28"/>
          <w:szCs w:val="28"/>
        </w:rPr>
        <w:t xml:space="preserve"> проведения экзаменов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основной экзаменационный день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10, 11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)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в 2025</w:t>
      </w:r>
      <w:r>
        <w:rPr>
          <w:sz w:val="28"/>
          <w:szCs w:val="28"/>
        </w:rPr>
        <w:t xml:space="preserve"> году, </w:t>
      </w:r>
      <w:r>
        <w:rPr>
          <w:sz w:val="28"/>
          <w:szCs w:val="28"/>
        </w:rPr>
        <w:br/>
        <w:t xml:space="preserve">в органы местного самоуправления муниципальных образований Ханты-Мансийского автономного округа – Югры</w:t>
      </w:r>
      <w:r>
        <w:rPr>
          <w:sz w:val="28"/>
          <w:szCs w:val="28"/>
        </w:rPr>
        <w:t xml:space="preserve">, осуществляющие управление </w:t>
        <w:br/>
        <w:t xml:space="preserve">в сфере образования</w:t>
      </w:r>
      <w:r>
        <w:rPr>
          <w:sz w:val="28"/>
          <w:szCs w:val="28"/>
        </w:rPr>
        <w:t xml:space="preserve">.</w:t>
      </w:r>
      <w:r/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Направление информации в </w:t>
      </w:r>
      <w:r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 xml:space="preserve">науки</w:t>
      </w:r>
      <w:r>
        <w:rPr>
          <w:sz w:val="28"/>
          <w:szCs w:val="28"/>
        </w:rPr>
        <w:t xml:space="preserve"> Ханты-Мансийского автономного округа – Югры </w:t>
      </w:r>
      <w:r>
        <w:rPr>
          <w:sz w:val="28"/>
          <w:szCs w:val="28"/>
        </w:rPr>
        <w:t xml:space="preserve">о передаче </w:t>
        <w:br/>
      </w:r>
      <w:r>
        <w:rPr>
          <w:sz w:val="28"/>
          <w:szCs w:val="28"/>
        </w:rPr>
        <w:t xml:space="preserve">в органы местного самоуправления муниципальных образований Ханты-Мансийского автономного округа – Югры, осуществляющие управление </w:t>
        <w:br/>
        <w:t xml:space="preserve">в сфере образования,</w:t>
      </w:r>
      <w:r>
        <w:rPr>
          <w:sz w:val="28"/>
          <w:szCs w:val="28"/>
        </w:rPr>
        <w:t xml:space="preserve"> утвержденных списков распределения участников ГИА-11,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ЕГЭ</w:t>
      </w:r>
      <w:r>
        <w:rPr>
          <w:sz w:val="28"/>
          <w:szCs w:val="28"/>
        </w:rPr>
        <w:t xml:space="preserve">, сформированных </w:t>
      </w:r>
      <w:r>
        <w:rPr>
          <w:sz w:val="28"/>
          <w:szCs w:val="28"/>
        </w:rPr>
        <w:t xml:space="preserve">в РИС ГИА организационно-технологических схем проведения экзаменов на каждый </w:t>
      </w:r>
      <w:r>
        <w:rPr>
          <w:sz w:val="28"/>
          <w:szCs w:val="28"/>
        </w:rPr>
        <w:t xml:space="preserve">основной экзаменационный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(10, 11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в 2025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подпункту 3.2 пункта 3 настоящего приказа,</w:t>
      </w:r>
      <w:r>
        <w:rPr>
          <w:sz w:val="28"/>
          <w:szCs w:val="28"/>
        </w:rPr>
        <w:t xml:space="preserve"> до начала проведения экзаменов </w:t>
      </w:r>
      <w:r>
        <w:rPr>
          <w:sz w:val="28"/>
          <w:szCs w:val="28"/>
        </w:rPr>
        <w:t xml:space="preserve">каждого экзаменационного дня основного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2025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</w:t>
      </w:r>
      <w:r/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Возложить ответственность:</w:t>
      </w:r>
      <w:r/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4.1. На руководителей органов местного самоуправления муниципальных образований Ханты-Мансийского автономного </w:t>
      </w:r>
      <w:r>
        <w:rPr>
          <w:sz w:val="28"/>
          <w:szCs w:val="28"/>
        </w:rPr>
        <w:br/>
        <w:t xml:space="preserve">округа – Югры, осуществляющих управление в сфере образования, </w:t>
      </w:r>
      <w:r>
        <w:rPr>
          <w:sz w:val="28"/>
          <w:szCs w:val="28"/>
        </w:rPr>
        <w:t xml:space="preserve">руководителей государственных образовательных организаций </w:t>
        <w:br/>
        <w:t xml:space="preserve">Ханты-Мансийского автономного округа – Югры, выпускники, завершившие освоение основных образовательных программ </w:t>
      </w:r>
      <w:r>
        <w:rPr>
          <w:sz w:val="28"/>
          <w:szCs w:val="28"/>
        </w:rPr>
        <w:t xml:space="preserve">среднего</w:t>
      </w:r>
      <w:r>
        <w:rPr>
          <w:sz w:val="28"/>
          <w:szCs w:val="28"/>
        </w:rPr>
        <w:t xml:space="preserve"> общего образования которых заявлены для участия в п</w:t>
      </w:r>
      <w:r>
        <w:rPr>
          <w:sz w:val="28"/>
          <w:szCs w:val="28"/>
        </w:rPr>
        <w:t xml:space="preserve">рохождении ГИА-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форм</w:t>
      </w:r>
      <w:r>
        <w:rPr>
          <w:sz w:val="28"/>
          <w:szCs w:val="28"/>
        </w:rPr>
        <w:t xml:space="preserve">е Е</w:t>
      </w:r>
      <w:r>
        <w:rPr>
          <w:sz w:val="28"/>
          <w:szCs w:val="28"/>
        </w:rPr>
        <w:t xml:space="preserve">ГЭ в основной период в 2025 году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Жуков А.В., </w:t>
      </w:r>
      <w:r>
        <w:rPr>
          <w:sz w:val="28"/>
          <w:szCs w:val="28"/>
        </w:rPr>
        <w:br/>
        <w:t xml:space="preserve">Васильев К.А.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Мамбетов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Платонова С.Ю.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обеспечен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РИС ГИА сведений </w:t>
      </w:r>
      <w:r>
        <w:rPr>
          <w:sz w:val="28"/>
          <w:szCs w:val="28"/>
        </w:rPr>
        <w:t xml:space="preserve">об участниках, заявившихся для сдачи экзаменов </w:t>
        <w:br/>
        <w:t xml:space="preserve">в основн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 (10</w:t>
      </w:r>
      <w:r>
        <w:rPr>
          <w:sz w:val="28"/>
          <w:szCs w:val="28"/>
        </w:rPr>
        <w:t xml:space="preserve">, 11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 года) </w:t>
      </w:r>
      <w:r>
        <w:rPr>
          <w:sz w:val="28"/>
          <w:szCs w:val="28"/>
        </w:rPr>
        <w:t xml:space="preserve">основного</w:t>
      </w:r>
      <w:r>
        <w:rPr>
          <w:sz w:val="28"/>
          <w:szCs w:val="28"/>
        </w:rPr>
        <w:t xml:space="preserve"> периода проведения </w:t>
        <w:br/>
        <w:t xml:space="preserve">ГИА-</w:t>
      </w:r>
      <w:r>
        <w:rPr>
          <w:sz w:val="28"/>
          <w:szCs w:val="28"/>
        </w:rPr>
        <w:t xml:space="preserve">11, ЕГЭ </w:t>
      </w:r>
      <w:r>
        <w:rPr>
          <w:sz w:val="28"/>
          <w:szCs w:val="28"/>
        </w:rPr>
        <w:t xml:space="preserve">в 2025 году, за своевременное внесение сведений </w:t>
        <w:br/>
        <w:t xml:space="preserve">об участниках ГИА-</w:t>
      </w:r>
      <w:r>
        <w:rPr>
          <w:sz w:val="28"/>
          <w:szCs w:val="28"/>
        </w:rPr>
        <w:t xml:space="preserve">11, ЕГЭ</w:t>
      </w:r>
      <w:r>
        <w:rPr>
          <w:sz w:val="28"/>
          <w:szCs w:val="28"/>
        </w:rPr>
        <w:t xml:space="preserve">, лицах, привлекаемых к организации проведения ГИА-</w:t>
      </w:r>
      <w:r>
        <w:rPr>
          <w:sz w:val="28"/>
          <w:szCs w:val="28"/>
        </w:rPr>
        <w:t xml:space="preserve">11, ЕГЭ</w:t>
      </w:r>
      <w:r>
        <w:rPr>
          <w:sz w:val="28"/>
          <w:szCs w:val="28"/>
        </w:rPr>
        <w:t xml:space="preserve">, в муниципальные базы данных РИС ГИА, </w:t>
        <w:br/>
        <w:t xml:space="preserve">их планирование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экзамены в основн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10,</w:t>
      </w:r>
      <w:r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основного</w:t>
      </w:r>
      <w:r>
        <w:rPr>
          <w:sz w:val="28"/>
          <w:szCs w:val="28"/>
        </w:rPr>
        <w:t xml:space="preserve"> периода в 2025 году. </w:t>
      </w:r>
      <w:r/>
    </w:p>
    <w:p>
      <w:pPr>
        <w:pStyle w:val="1009"/>
        <w:ind w:firstLine="720"/>
        <w:jc w:val="both"/>
        <w:spacing w:after="0"/>
        <w:tabs>
          <w:tab w:val="left" w:pos="6351" w:leader="none"/>
        </w:tabs>
      </w:pPr>
      <w:r>
        <w:rPr>
          <w:sz w:val="28"/>
          <w:szCs w:val="28"/>
        </w:rPr>
        <w:t xml:space="preserve">4.2. На директора </w:t>
      </w:r>
      <w:r>
        <w:rPr>
          <w:sz w:val="28"/>
          <w:szCs w:val="28"/>
        </w:rPr>
        <w:t xml:space="preserve">автономно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дополнительного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функции Регионального центра обработки информации</w:t>
      </w:r>
      <w:r>
        <w:rPr>
          <w:sz w:val="28"/>
          <w:szCs w:val="28"/>
        </w:rPr>
        <w:t xml:space="preserve">, </w:t>
        <w:br/>
        <w:t xml:space="preserve">за своевременное формирование, утверждение </w:t>
      </w:r>
      <w:r>
        <w:rPr>
          <w:sz w:val="28"/>
          <w:szCs w:val="28"/>
        </w:rPr>
        <w:t xml:space="preserve">и направление </w:t>
      </w:r>
      <w:r>
        <w:rPr>
          <w:sz w:val="28"/>
          <w:szCs w:val="28"/>
        </w:rPr>
        <w:t xml:space="preserve">в органы местного самоуправ</w:t>
      </w:r>
      <w:r>
        <w:rPr>
          <w:sz w:val="28"/>
          <w:szCs w:val="28"/>
        </w:rPr>
        <w:t xml:space="preserve">ления муниципальных образований </w:t>
      </w:r>
      <w:r>
        <w:rPr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</w:t>
      </w:r>
      <w:r>
        <w:rPr>
          <w:sz w:val="28"/>
          <w:szCs w:val="28"/>
        </w:rPr>
        <w:t xml:space="preserve">, пункты проведения экзаменов актуальных </w:t>
      </w:r>
      <w:r>
        <w:rPr>
          <w:sz w:val="28"/>
          <w:szCs w:val="28"/>
        </w:rPr>
        <w:t xml:space="preserve">списков распределения участников ГИА-</w:t>
      </w:r>
      <w:r>
        <w:rPr>
          <w:sz w:val="28"/>
          <w:szCs w:val="28"/>
        </w:rPr>
        <w:t xml:space="preserve">11, ЕГЭ</w:t>
      </w:r>
      <w:r>
        <w:rPr>
          <w:sz w:val="28"/>
          <w:szCs w:val="28"/>
        </w:rPr>
        <w:t xml:space="preserve">, сформированных </w:t>
      </w:r>
      <w:r>
        <w:rPr>
          <w:sz w:val="28"/>
          <w:szCs w:val="28"/>
        </w:rPr>
        <w:t xml:space="preserve">в РИС ГИА</w:t>
      </w:r>
      <w:r>
        <w:rPr>
          <w:sz w:val="28"/>
          <w:szCs w:val="28"/>
        </w:rPr>
        <w:t xml:space="preserve">, организационно-технологических схем проведения ГИА-</w:t>
      </w:r>
      <w:r>
        <w:rPr>
          <w:sz w:val="28"/>
          <w:szCs w:val="28"/>
        </w:rPr>
        <w:t xml:space="preserve">11, ЕГЭ</w:t>
      </w:r>
      <w:r>
        <w:rPr>
          <w:sz w:val="28"/>
          <w:szCs w:val="28"/>
        </w:rPr>
        <w:t xml:space="preserve"> в основн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, 11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основного</w:t>
      </w:r>
      <w:r>
        <w:rPr>
          <w:sz w:val="28"/>
          <w:szCs w:val="28"/>
        </w:rPr>
        <w:t xml:space="preserve"> периода </w:t>
        <w:br/>
        <w:t xml:space="preserve">в 2025 году.</w:t>
      </w:r>
      <w:r/>
    </w:p>
    <w:p>
      <w:pPr>
        <w:pStyle w:val="1009"/>
        <w:ind w:firstLine="720"/>
        <w:jc w:val="both"/>
        <w:spacing w:after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Административно-ресурсному отделу </w:t>
      </w:r>
      <w:r>
        <w:rPr>
          <w:sz w:val="28"/>
          <w:szCs w:val="28"/>
        </w:rPr>
        <w:t xml:space="preserve">Административного управления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образования и науки Ханты-Мансийского автономного округа – Югры </w:t>
      </w:r>
      <w:r>
        <w:rPr>
          <w:sz w:val="28"/>
          <w:szCs w:val="28"/>
        </w:rPr>
        <w:t xml:space="preserve">обеспечить рассылку настоящего приказа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органы местного самоуправления муниципальных образований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автономного округа – Югры, осуществляющие управление в сфере образования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казенно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общеобразовательно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 xml:space="preserve">е Ханты-Мансийского автономного округа – Югры</w:t>
      </w:r>
      <w:r>
        <w:rPr>
          <w:color w:val="000000"/>
          <w:sz w:val="28"/>
          <w:szCs w:val="28"/>
        </w:rPr>
        <w:t xml:space="preserve"> «Кадетская школа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интернат имени Героя Советского Союза Безноскова Ивана Захаровича»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автономное профессиональное образовательное учреждение Ханты-Мансийского автономного округа – Югры «Югорский колледж-интернат олимпийского резерва»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бюджетное общеобразовательное учреждение Ханты-Мансийского автономного округа – Югры «Лицей </w:t>
        <w:br/>
        <w:t xml:space="preserve">им. Г.Ф. Атякшева», </w:t>
      </w:r>
      <w:r>
        <w:rPr>
          <w:sz w:val="28"/>
          <w:szCs w:val="28"/>
        </w:rPr>
        <w:t xml:space="preserve">бюджетное общеобразовательное учреждение Ханты-Мансийского автономного округа – Югры «Югорский физико-математический лицей-интернат»,</w:t>
      </w:r>
      <w:bookmarkStart w:id="0" w:name="undefined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дополнительного профессионального образования Ханты-Мансийского автономного округа – Югры «Институт развития образования»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настоящего приказа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директора Департамента образования и </w:t>
      </w:r>
      <w:r>
        <w:rPr>
          <w:sz w:val="28"/>
          <w:szCs w:val="28"/>
        </w:rPr>
        <w:t xml:space="preserve">науки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автономного округа – Югры И.В. Святченко.</w:t>
      </w:r>
      <w:r/>
    </w:p>
    <w:p>
      <w:pPr>
        <w:ind w:right="35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5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5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59264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ed="f" strokecolor="#000000" strokeweight="1.00pt">
                <v:path textboxrect="0,0,100000,10000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auto" w:fill="auto"/>
            <w:tcW w:w="3227" w:type="dxa"/>
            <w:textDirection w:val="lrTb"/>
            <w:noWrap/>
          </w:tcPr>
          <w:p>
            <w:pPr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</w:t>
            </w:r>
            <w:r>
              <w:rPr>
                <w:sz w:val="28"/>
                <w:szCs w:val="28"/>
              </w:rPr>
              <w:t xml:space="preserve">ктор 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90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0" b="0"/>
                      <wp:wrapNone/>
                      <wp:docPr id="5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60288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с [ДатаС 1] по [ДатаПо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auto" w:fill="auto"/>
            <w:tcW w:w="2052" w:type="dxa"/>
            <w:textDirection w:val="lrTb"/>
            <w:noWrap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1031" w:right="1276" w:bottom="1209" w:left="1559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8</w:t>
    </w:r>
    <w:r>
      <w:fldChar w:fldCharType="end"/>
    </w:r>
    <w:r/>
  </w:p>
  <w:p>
    <w:pPr>
      <w:pStyle w:val="10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rPr>
        <w:rStyle w:val="1025"/>
      </w:rPr>
      <w:framePr w:wrap="around" w:vAnchor="text" w:hAnchor="margin" w:xAlign="center" w:y="1"/>
    </w:pPr>
    <w:r>
      <w:rPr>
        <w:rStyle w:val="1025"/>
      </w:rPr>
      <w:fldChar w:fldCharType="begin"/>
    </w:r>
    <w:r>
      <w:rPr>
        <w:rStyle w:val="1025"/>
      </w:rPr>
      <w:instrText xml:space="preserve">PAGE  </w:instrText>
    </w:r>
    <w:r>
      <w:rPr>
        <w:rStyle w:val="1025"/>
      </w:rPr>
      <w:fldChar w:fldCharType="end"/>
    </w:r>
    <w:r>
      <w:rPr>
        <w:rStyle w:val="1025"/>
      </w:rPr>
    </w:r>
    <w:r>
      <w:rPr>
        <w:rStyle w:val="1025"/>
      </w:rPr>
    </w:r>
  </w:p>
  <w:p>
    <w:pPr>
      <w:pStyle w:val="1018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13"/>
  </w:num>
  <w:num w:numId="2">
    <w:abstractNumId w:val="33"/>
  </w:num>
  <w:num w:numId="3">
    <w:abstractNumId w:val="23"/>
  </w:num>
  <w:num w:numId="4">
    <w:abstractNumId w:val="7"/>
  </w:num>
  <w:num w:numId="5">
    <w:abstractNumId w:val="42"/>
  </w:num>
  <w:num w:numId="6">
    <w:abstractNumId w:val="35"/>
  </w:num>
  <w:num w:numId="7">
    <w:abstractNumId w:val="0"/>
  </w:num>
  <w:num w:numId="8">
    <w:abstractNumId w:val="32"/>
  </w:num>
  <w:num w:numId="9">
    <w:abstractNumId w:val="18"/>
  </w:num>
  <w:num w:numId="10">
    <w:abstractNumId w:val="1"/>
  </w:num>
  <w:num w:numId="11">
    <w:abstractNumId w:val="21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46"/>
  </w:num>
  <w:num w:numId="23">
    <w:abstractNumId w:val="26"/>
  </w:num>
  <w:num w:numId="24">
    <w:abstractNumId w:val="31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2"/>
  </w:num>
  <w:num w:numId="30">
    <w:abstractNumId w:val="47"/>
  </w:num>
  <w:num w:numId="31">
    <w:abstractNumId w:val="20"/>
  </w:num>
  <w:num w:numId="32">
    <w:abstractNumId w:val="8"/>
  </w:num>
  <w:num w:numId="33">
    <w:abstractNumId w:val="40"/>
  </w:num>
  <w:num w:numId="34">
    <w:abstractNumId w:val="10"/>
  </w:num>
  <w:num w:numId="35">
    <w:abstractNumId w:val="5"/>
  </w:num>
  <w:num w:numId="36">
    <w:abstractNumId w:val="34"/>
  </w:num>
  <w:num w:numId="37">
    <w:abstractNumId w:val="28"/>
  </w:num>
  <w:num w:numId="38">
    <w:abstractNumId w:val="6"/>
  </w:num>
  <w:num w:numId="39">
    <w:abstractNumId w:val="4"/>
  </w:num>
  <w:num w:numId="40">
    <w:abstractNumId w:val="30"/>
  </w:num>
  <w:num w:numId="41">
    <w:abstractNumId w:val="19"/>
  </w:num>
  <w:num w:numId="42">
    <w:abstractNumId w:val="15"/>
  </w:num>
  <w:num w:numId="43">
    <w:abstractNumId w:val="24"/>
  </w:num>
  <w:num w:numId="44">
    <w:abstractNumId w:val="39"/>
  </w:num>
  <w:num w:numId="45">
    <w:abstractNumId w:val="41"/>
  </w:num>
  <w:num w:numId="46">
    <w:abstractNumId w:val="48"/>
  </w:num>
  <w:num w:numId="47">
    <w:abstractNumId w:val="9"/>
  </w:num>
  <w:num w:numId="48">
    <w:abstractNumId w:val="36"/>
  </w:num>
  <w:num w:numId="49">
    <w:abstractNumId w:val="1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9" w:default="1">
    <w:name w:val="Normal"/>
    <w:qFormat/>
    <w:rPr>
      <w:rFonts w:ascii="Times New Roman" w:hAnsi="Times New Roman" w:eastAsia="Times New Roman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Heading 3 Char"/>
    <w:basedOn w:val="810"/>
    <w:link w:val="830"/>
    <w:uiPriority w:val="9"/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810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810"/>
    <w:link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810"/>
    <w:link w:val="833"/>
    <w:uiPriority w:val="9"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Heading 7 Char"/>
    <w:basedOn w:val="810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Heading 8 Char"/>
    <w:basedOn w:val="810"/>
    <w:link w:val="835"/>
    <w:uiPriority w:val="9"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Heading 9 Char"/>
    <w:basedOn w:val="810"/>
    <w:link w:val="836"/>
    <w:uiPriority w:val="9"/>
    <w:rPr>
      <w:rFonts w:ascii="Arial" w:hAnsi="Arial" w:eastAsia="Arial" w:cs="Arial"/>
      <w:i/>
      <w:iCs/>
      <w:sz w:val="21"/>
      <w:szCs w:val="21"/>
    </w:rPr>
  </w:style>
  <w:style w:type="character" w:styleId="820" w:customStyle="1">
    <w:name w:val="Title Char"/>
    <w:basedOn w:val="810"/>
    <w:link w:val="1012"/>
    <w:uiPriority w:val="10"/>
    <w:rPr>
      <w:sz w:val="48"/>
      <w:szCs w:val="48"/>
    </w:rPr>
  </w:style>
  <w:style w:type="character" w:styleId="821" w:customStyle="1">
    <w:name w:val="Subtitle Char"/>
    <w:basedOn w:val="810"/>
    <w:link w:val="848"/>
    <w:uiPriority w:val="11"/>
    <w:rPr>
      <w:sz w:val="24"/>
      <w:szCs w:val="24"/>
    </w:rPr>
  </w:style>
  <w:style w:type="character" w:styleId="822" w:customStyle="1">
    <w:name w:val="Quote Char"/>
    <w:link w:val="850"/>
    <w:uiPriority w:val="29"/>
    <w:rPr>
      <w:i/>
    </w:rPr>
  </w:style>
  <w:style w:type="character" w:styleId="823" w:customStyle="1">
    <w:name w:val="Intense Quote Char"/>
    <w:link w:val="852"/>
    <w:uiPriority w:val="30"/>
    <w:rPr>
      <w:i/>
    </w:rPr>
  </w:style>
  <w:style w:type="character" w:styleId="824" w:customStyle="1">
    <w:name w:val="Header Char"/>
    <w:basedOn w:val="810"/>
    <w:link w:val="1018"/>
    <w:uiPriority w:val="99"/>
  </w:style>
  <w:style w:type="character" w:styleId="825" w:customStyle="1">
    <w:name w:val="Caption Char"/>
    <w:link w:val="1019"/>
    <w:uiPriority w:val="99"/>
  </w:style>
  <w:style w:type="character" w:styleId="826" w:customStyle="1">
    <w:name w:val="Footnote Text Char"/>
    <w:link w:val="983"/>
    <w:uiPriority w:val="99"/>
    <w:rPr>
      <w:sz w:val="18"/>
    </w:rPr>
  </w:style>
  <w:style w:type="character" w:styleId="827" w:customStyle="1">
    <w:name w:val="Endnote Text Char"/>
    <w:link w:val="986"/>
    <w:uiPriority w:val="99"/>
    <w:rPr>
      <w:sz w:val="20"/>
    </w:rPr>
  </w:style>
  <w:style w:type="paragraph" w:styleId="828" w:customStyle="1">
    <w:name w:val="Heading 1"/>
    <w:basedOn w:val="809"/>
    <w:next w:val="809"/>
    <w:link w:val="1035"/>
    <w:qFormat/>
    <w:pPr>
      <w:keepNext/>
      <w:outlineLvl w:val="0"/>
    </w:pPr>
    <w:rPr>
      <w:sz w:val="28"/>
      <w:szCs w:val="24"/>
    </w:rPr>
  </w:style>
  <w:style w:type="paragraph" w:styleId="829" w:customStyle="1">
    <w:name w:val="Heading 2"/>
    <w:basedOn w:val="809"/>
    <w:next w:val="809"/>
    <w:link w:val="103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30" w:customStyle="1">
    <w:name w:val="Heading 3"/>
    <w:basedOn w:val="809"/>
    <w:next w:val="809"/>
    <w:link w:val="83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1" w:customStyle="1">
    <w:name w:val="Heading 4"/>
    <w:basedOn w:val="809"/>
    <w:next w:val="809"/>
    <w:link w:val="840"/>
    <w:qFormat/>
    <w:pPr>
      <w:keepNext/>
      <w:outlineLvl w:val="3"/>
    </w:pPr>
    <w:rPr>
      <w:b/>
      <w:bCs/>
      <w:sz w:val="28"/>
      <w:szCs w:val="24"/>
    </w:rPr>
  </w:style>
  <w:style w:type="paragraph" w:styleId="832" w:customStyle="1">
    <w:name w:val="Heading 5"/>
    <w:basedOn w:val="809"/>
    <w:next w:val="809"/>
    <w:link w:val="841"/>
    <w:qFormat/>
    <w:pPr>
      <w:jc w:val="center"/>
      <w:keepNext/>
      <w:outlineLvl w:val="4"/>
    </w:pPr>
    <w:rPr>
      <w:i/>
      <w:sz w:val="24"/>
      <w:szCs w:val="24"/>
    </w:rPr>
  </w:style>
  <w:style w:type="paragraph" w:styleId="833" w:customStyle="1">
    <w:name w:val="Heading 6"/>
    <w:basedOn w:val="809"/>
    <w:next w:val="809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4" w:customStyle="1">
    <w:name w:val="Heading 7"/>
    <w:basedOn w:val="809"/>
    <w:next w:val="809"/>
    <w:link w:val="843"/>
    <w:qFormat/>
    <w:pPr>
      <w:spacing w:before="240" w:after="60"/>
      <w:outlineLvl w:val="6"/>
    </w:pPr>
    <w:rPr>
      <w:sz w:val="24"/>
      <w:szCs w:val="24"/>
    </w:rPr>
  </w:style>
  <w:style w:type="paragraph" w:styleId="835" w:customStyle="1">
    <w:name w:val="Heading 8"/>
    <w:basedOn w:val="809"/>
    <w:next w:val="809"/>
    <w:link w:val="8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6" w:customStyle="1">
    <w:name w:val="Heading 9"/>
    <w:basedOn w:val="809"/>
    <w:next w:val="809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7" w:customStyle="1">
    <w:name w:val="Heading 1 Char"/>
    <w:basedOn w:val="810"/>
    <w:uiPriority w:val="9"/>
    <w:rPr>
      <w:rFonts w:ascii="Arial" w:hAnsi="Arial" w:eastAsia="Arial" w:cs="Arial"/>
      <w:sz w:val="40"/>
      <w:szCs w:val="40"/>
    </w:rPr>
  </w:style>
  <w:style w:type="character" w:styleId="838" w:customStyle="1">
    <w:name w:val="Heading 2 Char"/>
    <w:basedOn w:val="810"/>
    <w:uiPriority w:val="9"/>
    <w:rPr>
      <w:rFonts w:ascii="Arial" w:hAnsi="Arial" w:eastAsia="Arial" w:cs="Arial"/>
      <w:sz w:val="34"/>
    </w:rPr>
  </w:style>
  <w:style w:type="character" w:styleId="839" w:customStyle="1">
    <w:name w:val="Заголовок 3 Знак"/>
    <w:basedOn w:val="810"/>
    <w:link w:val="830"/>
    <w:uiPriority w:val="9"/>
    <w:rPr>
      <w:rFonts w:ascii="Arial" w:hAnsi="Arial" w:eastAsia="Arial" w:cs="Arial"/>
      <w:sz w:val="30"/>
      <w:szCs w:val="30"/>
    </w:rPr>
  </w:style>
  <w:style w:type="character" w:styleId="840" w:customStyle="1">
    <w:name w:val="Заголовок 4 Знак"/>
    <w:basedOn w:val="810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841" w:customStyle="1">
    <w:name w:val="Заголовок 5 Знак"/>
    <w:basedOn w:val="810"/>
    <w:link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842" w:customStyle="1">
    <w:name w:val="Заголовок 6 Знак"/>
    <w:basedOn w:val="810"/>
    <w:link w:val="833"/>
    <w:uiPriority w:val="9"/>
    <w:rPr>
      <w:rFonts w:ascii="Arial" w:hAnsi="Arial" w:eastAsia="Arial" w:cs="Arial"/>
      <w:b/>
      <w:bCs/>
      <w:sz w:val="22"/>
      <w:szCs w:val="22"/>
    </w:rPr>
  </w:style>
  <w:style w:type="character" w:styleId="843" w:customStyle="1">
    <w:name w:val="Заголовок 7 Знак1"/>
    <w:basedOn w:val="810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4" w:customStyle="1">
    <w:name w:val="Заголовок 8 Знак"/>
    <w:basedOn w:val="810"/>
    <w:link w:val="835"/>
    <w:uiPriority w:val="9"/>
    <w:rPr>
      <w:rFonts w:ascii="Arial" w:hAnsi="Arial" w:eastAsia="Arial" w:cs="Arial"/>
      <w:i/>
      <w:iCs/>
      <w:sz w:val="22"/>
      <w:szCs w:val="22"/>
    </w:rPr>
  </w:style>
  <w:style w:type="character" w:styleId="845" w:customStyle="1">
    <w:name w:val="Заголовок 9 Знак"/>
    <w:basedOn w:val="810"/>
    <w:link w:val="836"/>
    <w:uiPriority w:val="9"/>
    <w:rPr>
      <w:rFonts w:ascii="Arial" w:hAnsi="Arial" w:eastAsia="Arial" w:cs="Arial"/>
      <w:i/>
      <w:iCs/>
      <w:sz w:val="21"/>
      <w:szCs w:val="21"/>
    </w:rPr>
  </w:style>
  <w:style w:type="paragraph" w:styleId="846">
    <w:name w:val="No Spacing"/>
    <w:uiPriority w:val="1"/>
    <w:qFormat/>
  </w:style>
  <w:style w:type="character" w:styleId="847" w:customStyle="1">
    <w:name w:val="Название Знак"/>
    <w:basedOn w:val="810"/>
    <w:link w:val="1012"/>
    <w:uiPriority w:val="10"/>
    <w:rPr>
      <w:sz w:val="48"/>
      <w:szCs w:val="48"/>
    </w:rPr>
  </w:style>
  <w:style w:type="paragraph" w:styleId="848">
    <w:name w:val="Subtitle"/>
    <w:basedOn w:val="809"/>
    <w:next w:val="809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 w:customStyle="1">
    <w:name w:val="Подзаголовок Знак"/>
    <w:basedOn w:val="810"/>
    <w:link w:val="848"/>
    <w:uiPriority w:val="11"/>
    <w:rPr>
      <w:sz w:val="24"/>
      <w:szCs w:val="24"/>
    </w:rPr>
  </w:style>
  <w:style w:type="paragraph" w:styleId="850">
    <w:name w:val="Quote"/>
    <w:basedOn w:val="809"/>
    <w:next w:val="809"/>
    <w:link w:val="851"/>
    <w:uiPriority w:val="29"/>
    <w:qFormat/>
    <w:pPr>
      <w:ind w:left="720" w:right="720"/>
    </w:pPr>
    <w:rPr>
      <w:i/>
    </w:rPr>
  </w:style>
  <w:style w:type="character" w:styleId="851" w:customStyle="1">
    <w:name w:val="Цитата 2 Знак"/>
    <w:link w:val="850"/>
    <w:uiPriority w:val="29"/>
    <w:rPr>
      <w:i/>
    </w:rPr>
  </w:style>
  <w:style w:type="paragraph" w:styleId="852">
    <w:name w:val="Intense Quote"/>
    <w:basedOn w:val="809"/>
    <w:next w:val="809"/>
    <w:link w:val="8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 w:customStyle="1">
    <w:name w:val="Выделенная цитата Знак"/>
    <w:link w:val="852"/>
    <w:uiPriority w:val="30"/>
    <w:rPr>
      <w:i/>
    </w:rPr>
  </w:style>
  <w:style w:type="character" w:styleId="854" w:customStyle="1">
    <w:name w:val="Верхний колонтитул Знак"/>
    <w:basedOn w:val="810"/>
    <w:link w:val="1018"/>
    <w:uiPriority w:val="99"/>
  </w:style>
  <w:style w:type="character" w:styleId="855" w:customStyle="1">
    <w:name w:val="Footer Char"/>
    <w:basedOn w:val="810"/>
    <w:uiPriority w:val="99"/>
  </w:style>
  <w:style w:type="paragraph" w:styleId="856" w:customStyle="1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7" w:customStyle="1">
    <w:name w:val="Нижний колонтитул Знак"/>
    <w:link w:val="1019"/>
    <w:uiPriority w:val="99"/>
  </w:style>
  <w:style w:type="table" w:styleId="858" w:customStyle="1">
    <w:name w:val="Table Grid Light"/>
    <w:basedOn w:val="8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Plain Table 1"/>
    <w:basedOn w:val="8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 w:customStyle="1">
    <w:name w:val="Plain Table 2"/>
    <w:basedOn w:val="81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1" w:customStyle="1">
    <w:name w:val="Plain Table 3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2" w:customStyle="1">
    <w:name w:val="Plain Table 4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Plain Table 5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1 Light"/>
    <w:basedOn w:val="81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1"/>
    <w:basedOn w:val="81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2"/>
    <w:basedOn w:val="81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3"/>
    <w:basedOn w:val="81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4"/>
    <w:basedOn w:val="81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5"/>
    <w:basedOn w:val="811"/>
    <w:link w:val="103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6"/>
    <w:basedOn w:val="81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2"/>
    <w:basedOn w:val="8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1"/>
    <w:basedOn w:val="81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2"/>
    <w:basedOn w:val="81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3"/>
    <w:basedOn w:val="81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4"/>
    <w:basedOn w:val="81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5"/>
    <w:basedOn w:val="81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6"/>
    <w:basedOn w:val="81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"/>
    <w:basedOn w:val="8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1"/>
    <w:basedOn w:val="81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2"/>
    <w:basedOn w:val="81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3"/>
    <w:basedOn w:val="81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4"/>
    <w:basedOn w:val="81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5"/>
    <w:basedOn w:val="81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6"/>
    <w:basedOn w:val="81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4"/>
    <w:basedOn w:val="81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6" w:customStyle="1">
    <w:name w:val="Grid Table 4 - Accent 1"/>
    <w:basedOn w:val="81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7" w:customStyle="1">
    <w:name w:val="Grid Table 4 - Accent 2"/>
    <w:basedOn w:val="81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Grid Table 4 - Accent 3"/>
    <w:basedOn w:val="81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9" w:customStyle="1">
    <w:name w:val="Grid Table 4 - Accent 4"/>
    <w:basedOn w:val="81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Grid Table 4 - Accent 5"/>
    <w:basedOn w:val="81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1" w:customStyle="1">
    <w:name w:val="Grid Table 4 - Accent 6"/>
    <w:basedOn w:val="81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2" w:customStyle="1">
    <w:name w:val="Grid Table 5 Dark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- Accent 1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2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3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- Accent 4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5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 - Accent 6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6 Colorful"/>
    <w:basedOn w:val="8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0" w:customStyle="1">
    <w:name w:val="Grid Table 6 Colorful - Accent 1"/>
    <w:basedOn w:val="81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1" w:customStyle="1">
    <w:name w:val="Grid Table 6 Colorful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2" w:customStyle="1">
    <w:name w:val="Grid Table 6 Colorful - Accent 3"/>
    <w:basedOn w:val="81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3" w:customStyle="1">
    <w:name w:val="Grid Table 6 Colorful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4" w:customStyle="1">
    <w:name w:val="Grid Table 6 Colorful - Accent 5"/>
    <w:basedOn w:val="81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5" w:customStyle="1">
    <w:name w:val="Grid Table 6 Colorful - Accent 6"/>
    <w:basedOn w:val="81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6" w:customStyle="1">
    <w:name w:val="Grid Table 7 Colorful"/>
    <w:basedOn w:val="81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1"/>
    <w:basedOn w:val="81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2"/>
    <w:basedOn w:val="81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3"/>
    <w:basedOn w:val="81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4"/>
    <w:basedOn w:val="81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5"/>
    <w:basedOn w:val="81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6"/>
    <w:basedOn w:val="81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1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2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3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4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5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6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2"/>
    <w:basedOn w:val="81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1"/>
    <w:basedOn w:val="81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2" w:customStyle="1">
    <w:name w:val="List Table 2 - Accent 2"/>
    <w:basedOn w:val="81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3"/>
    <w:basedOn w:val="81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4"/>
    <w:basedOn w:val="81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5"/>
    <w:basedOn w:val="81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6"/>
    <w:basedOn w:val="81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7" w:customStyle="1">
    <w:name w:val="List Table 3"/>
    <w:basedOn w:val="8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1"/>
    <w:basedOn w:val="81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3"/>
    <w:basedOn w:val="81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5"/>
    <w:basedOn w:val="81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6"/>
    <w:basedOn w:val="81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"/>
    <w:basedOn w:val="8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1"/>
    <w:basedOn w:val="81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2"/>
    <w:basedOn w:val="81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3"/>
    <w:basedOn w:val="81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4"/>
    <w:basedOn w:val="81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5"/>
    <w:basedOn w:val="81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6"/>
    <w:basedOn w:val="81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5 Dark"/>
    <w:basedOn w:val="8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1"/>
    <w:basedOn w:val="81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3"/>
    <w:basedOn w:val="81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5"/>
    <w:basedOn w:val="81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6"/>
    <w:basedOn w:val="81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6 Colorful"/>
    <w:basedOn w:val="8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9" w:customStyle="1">
    <w:name w:val="List Table 6 Colorful - Accent 1"/>
    <w:basedOn w:val="81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0" w:customStyle="1">
    <w:name w:val="List Table 6 Colorful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1" w:customStyle="1">
    <w:name w:val="List Table 6 Colorful - Accent 3"/>
    <w:basedOn w:val="81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2" w:customStyle="1">
    <w:name w:val="List Table 6 Colorful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3" w:customStyle="1">
    <w:name w:val="List Table 6 Colorful - Accent 5"/>
    <w:basedOn w:val="81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4" w:customStyle="1">
    <w:name w:val="List Table 6 Colorful - Accent 6"/>
    <w:basedOn w:val="81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5" w:customStyle="1">
    <w:name w:val="List Table 7 Colorful"/>
    <w:basedOn w:val="81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1"/>
    <w:basedOn w:val="81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2"/>
    <w:basedOn w:val="81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3"/>
    <w:basedOn w:val="81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4"/>
    <w:basedOn w:val="81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5"/>
    <w:basedOn w:val="81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6"/>
    <w:basedOn w:val="81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ned - Accent"/>
    <w:basedOn w:val="81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3" w:customStyle="1">
    <w:name w:val="Lined - Accent 1"/>
    <w:basedOn w:val="81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4" w:customStyle="1">
    <w:name w:val="Lined - Accent 2"/>
    <w:basedOn w:val="81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5" w:customStyle="1">
    <w:name w:val="Lined - Accent 3"/>
    <w:basedOn w:val="81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6" w:customStyle="1">
    <w:name w:val="Lined - Accent 4"/>
    <w:basedOn w:val="81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7" w:customStyle="1">
    <w:name w:val="Lined - Accent 5"/>
    <w:basedOn w:val="81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8" w:customStyle="1">
    <w:name w:val="Lined - Accent 6"/>
    <w:basedOn w:val="81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9" w:customStyle="1">
    <w:name w:val="Bordered &amp; Lined - Accent"/>
    <w:basedOn w:val="81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0" w:customStyle="1">
    <w:name w:val="Bordered &amp; Lined - Accent 1"/>
    <w:basedOn w:val="81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1" w:customStyle="1">
    <w:name w:val="Bordered &amp; Lined - Accent 2"/>
    <w:basedOn w:val="81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2" w:customStyle="1">
    <w:name w:val="Bordered &amp; Lined - Accent 3"/>
    <w:basedOn w:val="81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3" w:customStyle="1">
    <w:name w:val="Bordered &amp; Lined - Accent 4"/>
    <w:basedOn w:val="81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4" w:customStyle="1">
    <w:name w:val="Bordered &amp; Lined - Accent 5"/>
    <w:basedOn w:val="81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5" w:customStyle="1">
    <w:name w:val="Bordered &amp; Lined - Accent 6"/>
    <w:basedOn w:val="81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6" w:customStyle="1">
    <w:name w:val="Bordered"/>
    <w:basedOn w:val="81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7" w:customStyle="1">
    <w:name w:val="Bordered - Accent 1"/>
    <w:basedOn w:val="81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8" w:customStyle="1">
    <w:name w:val="Bordered - Accent 2"/>
    <w:basedOn w:val="81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9" w:customStyle="1">
    <w:name w:val="Bordered - Accent 3"/>
    <w:basedOn w:val="81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0" w:customStyle="1">
    <w:name w:val="Bordered - Accent 4"/>
    <w:basedOn w:val="81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1" w:customStyle="1">
    <w:name w:val="Bordered - Accent 5"/>
    <w:basedOn w:val="81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2" w:customStyle="1">
    <w:name w:val="Bordered - Accent 6"/>
    <w:basedOn w:val="81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83">
    <w:name w:val="footnote text"/>
    <w:basedOn w:val="809"/>
    <w:link w:val="984"/>
    <w:uiPriority w:val="99"/>
    <w:semiHidden/>
    <w:unhideWhenUsed/>
    <w:pPr>
      <w:spacing w:after="40"/>
    </w:pPr>
    <w:rPr>
      <w:sz w:val="18"/>
    </w:rPr>
  </w:style>
  <w:style w:type="character" w:styleId="984" w:customStyle="1">
    <w:name w:val="Текст сноски Знак"/>
    <w:link w:val="983"/>
    <w:uiPriority w:val="99"/>
    <w:rPr>
      <w:sz w:val="18"/>
    </w:rPr>
  </w:style>
  <w:style w:type="character" w:styleId="985">
    <w:name w:val="footnote reference"/>
    <w:basedOn w:val="810"/>
    <w:uiPriority w:val="99"/>
    <w:unhideWhenUsed/>
    <w:rPr>
      <w:vertAlign w:val="superscript"/>
    </w:rPr>
  </w:style>
  <w:style w:type="paragraph" w:styleId="986">
    <w:name w:val="endnote text"/>
    <w:basedOn w:val="809"/>
    <w:link w:val="987"/>
    <w:uiPriority w:val="99"/>
    <w:semiHidden/>
    <w:unhideWhenUsed/>
  </w:style>
  <w:style w:type="character" w:styleId="987" w:customStyle="1">
    <w:name w:val="Текст концевой сноски Знак"/>
    <w:link w:val="986"/>
    <w:uiPriority w:val="99"/>
    <w:rPr>
      <w:sz w:val="20"/>
    </w:rPr>
  </w:style>
  <w:style w:type="character" w:styleId="988">
    <w:name w:val="endnote reference"/>
    <w:basedOn w:val="810"/>
    <w:uiPriority w:val="99"/>
    <w:semiHidden/>
    <w:unhideWhenUsed/>
    <w:rPr>
      <w:vertAlign w:val="superscript"/>
    </w:rPr>
  </w:style>
  <w:style w:type="paragraph" w:styleId="989">
    <w:name w:val="toc 1"/>
    <w:basedOn w:val="809"/>
    <w:next w:val="809"/>
    <w:uiPriority w:val="39"/>
    <w:unhideWhenUsed/>
    <w:pPr>
      <w:spacing w:after="57"/>
    </w:pPr>
  </w:style>
  <w:style w:type="paragraph" w:styleId="990">
    <w:name w:val="toc 2"/>
    <w:basedOn w:val="809"/>
    <w:next w:val="809"/>
    <w:uiPriority w:val="39"/>
    <w:unhideWhenUsed/>
    <w:pPr>
      <w:ind w:left="283"/>
      <w:spacing w:after="57"/>
    </w:pPr>
  </w:style>
  <w:style w:type="paragraph" w:styleId="991">
    <w:name w:val="toc 3"/>
    <w:basedOn w:val="809"/>
    <w:next w:val="809"/>
    <w:uiPriority w:val="39"/>
    <w:unhideWhenUsed/>
    <w:pPr>
      <w:ind w:left="567"/>
      <w:spacing w:after="57"/>
    </w:pPr>
  </w:style>
  <w:style w:type="paragraph" w:styleId="992">
    <w:name w:val="toc 4"/>
    <w:basedOn w:val="809"/>
    <w:next w:val="809"/>
    <w:uiPriority w:val="39"/>
    <w:unhideWhenUsed/>
    <w:pPr>
      <w:ind w:left="850"/>
      <w:spacing w:after="57"/>
    </w:pPr>
  </w:style>
  <w:style w:type="paragraph" w:styleId="993">
    <w:name w:val="toc 5"/>
    <w:basedOn w:val="809"/>
    <w:next w:val="809"/>
    <w:uiPriority w:val="39"/>
    <w:unhideWhenUsed/>
    <w:pPr>
      <w:ind w:left="1134"/>
      <w:spacing w:after="57"/>
    </w:pPr>
  </w:style>
  <w:style w:type="paragraph" w:styleId="994">
    <w:name w:val="toc 6"/>
    <w:basedOn w:val="809"/>
    <w:next w:val="809"/>
    <w:uiPriority w:val="39"/>
    <w:unhideWhenUsed/>
    <w:pPr>
      <w:ind w:left="1417"/>
      <w:spacing w:after="57"/>
    </w:pPr>
  </w:style>
  <w:style w:type="paragraph" w:styleId="995">
    <w:name w:val="toc 7"/>
    <w:basedOn w:val="809"/>
    <w:next w:val="809"/>
    <w:uiPriority w:val="39"/>
    <w:unhideWhenUsed/>
    <w:pPr>
      <w:ind w:left="1701"/>
      <w:spacing w:after="57"/>
    </w:pPr>
  </w:style>
  <w:style w:type="paragraph" w:styleId="996">
    <w:name w:val="toc 8"/>
    <w:basedOn w:val="809"/>
    <w:next w:val="809"/>
    <w:uiPriority w:val="39"/>
    <w:unhideWhenUsed/>
    <w:pPr>
      <w:ind w:left="1984"/>
      <w:spacing w:after="57"/>
    </w:pPr>
  </w:style>
  <w:style w:type="paragraph" w:styleId="997">
    <w:name w:val="toc 9"/>
    <w:basedOn w:val="809"/>
    <w:next w:val="809"/>
    <w:uiPriority w:val="39"/>
    <w:unhideWhenUsed/>
    <w:pPr>
      <w:ind w:left="2268"/>
      <w:spacing w:after="57"/>
    </w:pPr>
  </w:style>
  <w:style w:type="paragraph" w:styleId="998">
    <w:name w:val="TOC Heading"/>
    <w:uiPriority w:val="39"/>
    <w:unhideWhenUsed/>
  </w:style>
  <w:style w:type="paragraph" w:styleId="999">
    <w:name w:val="table of figures"/>
    <w:basedOn w:val="809"/>
    <w:next w:val="809"/>
    <w:uiPriority w:val="99"/>
    <w:unhideWhenUsed/>
  </w:style>
  <w:style w:type="paragraph" w:styleId="1000">
    <w:name w:val="Balloon Text"/>
    <w:basedOn w:val="809"/>
    <w:link w:val="1001"/>
    <w:uiPriority w:val="99"/>
    <w:semiHidden/>
    <w:unhideWhenUsed/>
    <w:rPr>
      <w:rFonts w:ascii="Tahoma" w:hAnsi="Tahoma" w:cs="Tahoma"/>
      <w:sz w:val="16"/>
      <w:szCs w:val="16"/>
    </w:rPr>
  </w:style>
  <w:style w:type="character" w:styleId="1001" w:customStyle="1">
    <w:name w:val="Текст выноски Знак"/>
    <w:link w:val="1000"/>
    <w:uiPriority w:val="99"/>
    <w:semiHidden/>
    <w:rPr>
      <w:rFonts w:ascii="Tahoma" w:hAnsi="Tahoma" w:cs="Tahoma"/>
      <w:sz w:val="16"/>
      <w:szCs w:val="16"/>
    </w:rPr>
  </w:style>
  <w:style w:type="paragraph" w:styleId="1002">
    <w:name w:val="E-mail Signature"/>
    <w:basedOn w:val="809"/>
    <w:link w:val="1003"/>
    <w:uiPriority w:val="99"/>
    <w:semiHidden/>
    <w:unhideWhenUsed/>
    <w:rPr>
      <w:rFonts w:ascii="Calibri" w:hAnsi="Calibri"/>
      <w:sz w:val="22"/>
      <w:szCs w:val="22"/>
    </w:rPr>
  </w:style>
  <w:style w:type="character" w:styleId="1003" w:customStyle="1">
    <w:name w:val="Электронная подпись Знак"/>
    <w:link w:val="1002"/>
    <w:uiPriority w:val="99"/>
    <w:semiHidden/>
    <w:rPr>
      <w:rFonts w:ascii="Calibri" w:hAnsi="Calibri" w:eastAsia="Times New Roman" w:cs="Times New Roman"/>
      <w:lang w:eastAsia="ru-RU"/>
    </w:rPr>
  </w:style>
  <w:style w:type="paragraph" w:styleId="1004" w:customStyle="1">
    <w:name w:val="Знак"/>
    <w:basedOn w:val="80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1005">
    <w:name w:val="Table Grid"/>
    <w:basedOn w:val="81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06">
    <w:name w:val="Body Text Indent"/>
    <w:basedOn w:val="809"/>
    <w:pPr>
      <w:ind w:left="283"/>
      <w:spacing w:after="120"/>
    </w:pPr>
    <w:rPr>
      <w:sz w:val="24"/>
      <w:szCs w:val="24"/>
    </w:rPr>
  </w:style>
  <w:style w:type="paragraph" w:styleId="1007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1008">
    <w:name w:val="List Paragraph"/>
    <w:basedOn w:val="809"/>
    <w:link w:val="103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09">
    <w:name w:val="Body Text"/>
    <w:basedOn w:val="809"/>
    <w:link w:val="1036"/>
    <w:pPr>
      <w:spacing w:after="120"/>
    </w:pPr>
  </w:style>
  <w:style w:type="character" w:styleId="1010">
    <w:name w:val="Hyperlink"/>
    <w:unhideWhenUsed/>
    <w:rPr>
      <w:color w:val="0000ff"/>
      <w:u w:val="single"/>
    </w:rPr>
  </w:style>
  <w:style w:type="character" w:styleId="1011">
    <w:name w:val="FollowedHyperlink"/>
    <w:rPr>
      <w:color w:val="800080"/>
      <w:u w:val="single"/>
    </w:rPr>
  </w:style>
  <w:style w:type="paragraph" w:styleId="1012">
    <w:name w:val="Title"/>
    <w:basedOn w:val="809"/>
    <w:link w:val="847"/>
    <w:qFormat/>
    <w:pPr>
      <w:jc w:val="center"/>
    </w:pPr>
    <w:rPr>
      <w:b/>
      <w:sz w:val="24"/>
      <w:szCs w:val="24"/>
    </w:rPr>
  </w:style>
  <w:style w:type="paragraph" w:styleId="1013">
    <w:name w:val="Body Text Indent 2"/>
    <w:basedOn w:val="809"/>
    <w:pPr>
      <w:ind w:left="708"/>
      <w:jc w:val="both"/>
    </w:pPr>
    <w:rPr>
      <w:sz w:val="28"/>
      <w:szCs w:val="24"/>
    </w:rPr>
  </w:style>
  <w:style w:type="paragraph" w:styleId="1014">
    <w:name w:val="Body Text Indent 3"/>
    <w:basedOn w:val="809"/>
    <w:pPr>
      <w:ind w:left="708" w:firstLine="709"/>
      <w:jc w:val="both"/>
    </w:pPr>
    <w:rPr>
      <w:sz w:val="28"/>
      <w:szCs w:val="24"/>
    </w:rPr>
  </w:style>
  <w:style w:type="paragraph" w:styleId="1015">
    <w:name w:val="Body Text 2"/>
    <w:basedOn w:val="809"/>
    <w:pPr>
      <w:jc w:val="center"/>
    </w:pPr>
    <w:rPr>
      <w:bCs/>
      <w:sz w:val="28"/>
      <w:szCs w:val="24"/>
    </w:rPr>
  </w:style>
  <w:style w:type="character" w:styleId="1016" w:customStyle="1">
    <w:name w:val="Заголовок 7 Знак"/>
    <w:rPr>
      <w:sz w:val="24"/>
      <w:szCs w:val="24"/>
    </w:rPr>
  </w:style>
  <w:style w:type="paragraph" w:styleId="1017">
    <w:name w:val="Body Text 3"/>
    <w:basedOn w:val="809"/>
    <w:rPr>
      <w:sz w:val="24"/>
    </w:rPr>
  </w:style>
  <w:style w:type="paragraph" w:styleId="1018" w:customStyle="1">
    <w:name w:val="Header"/>
    <w:basedOn w:val="809"/>
    <w:link w:val="854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1019" w:customStyle="1">
    <w:name w:val="Footer"/>
    <w:basedOn w:val="809"/>
    <w:link w:val="85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1020" w:customStyle="1">
    <w:name w:val="Знак1 Знак Знак Знак Знак Знак Знак"/>
    <w:basedOn w:val="809"/>
    <w:pPr>
      <w:spacing w:after="160" w:line="240" w:lineRule="exact"/>
    </w:pPr>
    <w:rPr>
      <w:rFonts w:ascii="Verdana" w:hAnsi="Verdana"/>
      <w:lang w:val="en-US" w:eastAsia="en-US"/>
    </w:rPr>
  </w:style>
  <w:style w:type="paragraph" w:styleId="1021" w:customStyle="1">
    <w:name w:val="Знак1"/>
    <w:basedOn w:val="809"/>
    <w:pPr>
      <w:spacing w:after="160" w:line="240" w:lineRule="exact"/>
    </w:pPr>
    <w:rPr>
      <w:rFonts w:ascii="Verdana" w:hAnsi="Verdana"/>
      <w:lang w:val="en-US" w:eastAsia="en-US"/>
    </w:rPr>
  </w:style>
  <w:style w:type="paragraph" w:styleId="1022" w:customStyle="1">
    <w:name w:val="Знак"/>
    <w:basedOn w:val="809"/>
    <w:pPr>
      <w:spacing w:after="160" w:line="240" w:lineRule="exact"/>
    </w:pPr>
    <w:rPr>
      <w:rFonts w:ascii="Verdana" w:hAnsi="Verdana"/>
      <w:lang w:val="en-US" w:eastAsia="en-US"/>
    </w:rPr>
  </w:style>
  <w:style w:type="paragraph" w:styleId="1023">
    <w:name w:val="Plain Text"/>
    <w:basedOn w:val="809"/>
    <w:link w:val="1033"/>
    <w:rPr>
      <w:rFonts w:ascii="Courier New" w:hAnsi="Courier New" w:cs="Courier New"/>
    </w:rPr>
  </w:style>
  <w:style w:type="paragraph" w:styleId="1024">
    <w:name w:val="Normal (Web)"/>
    <w:basedOn w:val="809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1025">
    <w:name w:val="page number"/>
    <w:basedOn w:val="810"/>
  </w:style>
  <w:style w:type="paragraph" w:styleId="1026" w:customStyle="1">
    <w:name w:val="Основной текст 21"/>
    <w:basedOn w:val="809"/>
    <w:pPr>
      <w:ind w:firstLine="360"/>
      <w:jc w:val="both"/>
    </w:pPr>
    <w:rPr>
      <w:sz w:val="24"/>
    </w:rPr>
  </w:style>
  <w:style w:type="paragraph" w:styleId="1027" w:customStyle="1">
    <w:name w:val="Знак Знак Знак Знак Знак Знак Знак Знак Знак Знак"/>
    <w:basedOn w:val="809"/>
    <w:pPr>
      <w:spacing w:after="160" w:line="240" w:lineRule="exact"/>
    </w:pPr>
    <w:rPr>
      <w:rFonts w:ascii="Verdana" w:hAnsi="Verdana"/>
      <w:lang w:val="en-US" w:eastAsia="en-US"/>
    </w:rPr>
  </w:style>
  <w:style w:type="paragraph" w:styleId="1028" w:customStyle="1">
    <w:name w:val="Знак Знак Знак Знак"/>
    <w:basedOn w:val="809"/>
    <w:pPr>
      <w:spacing w:after="160" w:line="240" w:lineRule="exact"/>
    </w:pPr>
    <w:rPr>
      <w:rFonts w:ascii="Verdana" w:hAnsi="Verdana"/>
      <w:lang w:val="en-US" w:eastAsia="en-US"/>
    </w:rPr>
  </w:style>
  <w:style w:type="paragraph" w:styleId="102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1030" w:customStyle="1">
    <w:name w:val="Заголовок 2 Знак"/>
    <w:link w:val="82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031" w:customStyle="1">
    <w:name w:val="zagolovok"/>
    <w:basedOn w:val="810"/>
  </w:style>
  <w:style w:type="paragraph" w:styleId="1032" w:customStyle="1">
    <w:name w:val="Char Char Char"/>
    <w:basedOn w:val="80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1033" w:customStyle="1">
    <w:name w:val="Текст Знак"/>
    <w:link w:val="1023"/>
    <w:rPr>
      <w:rFonts w:ascii="Courier New" w:hAnsi="Courier New" w:cs="Courier New"/>
      <w:lang w:val="ru-RU" w:eastAsia="ru-RU" w:bidi="ar-SA"/>
    </w:rPr>
  </w:style>
  <w:style w:type="character" w:styleId="1034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1035" w:customStyle="1">
    <w:name w:val="Заголовок 1 Знак"/>
    <w:link w:val="828"/>
    <w:rPr>
      <w:rFonts w:ascii="Times New Roman" w:hAnsi="Times New Roman" w:eastAsia="Times New Roman"/>
      <w:sz w:val="28"/>
      <w:szCs w:val="24"/>
    </w:rPr>
  </w:style>
  <w:style w:type="character" w:styleId="1036" w:customStyle="1">
    <w:name w:val="Основной текст Знак"/>
    <w:link w:val="1009"/>
    <w:rPr>
      <w:rFonts w:ascii="Times New Roman" w:hAnsi="Times New Roman" w:eastAsia="Times New Roman"/>
    </w:rPr>
  </w:style>
  <w:style w:type="character" w:styleId="1037" w:customStyle="1">
    <w:name w:val="Абзац списка Знак"/>
    <w:link w:val="1008"/>
    <w:uiPriority w:val="34"/>
    <w:rPr>
      <w:rFonts w:eastAsia="Times New Roman"/>
      <w:sz w:val="22"/>
      <w:szCs w:val="22"/>
    </w:rPr>
  </w:style>
  <w:style w:type="character" w:styleId="1038" w:customStyle="1">
    <w:name w:val="Гипертекстовая ссылка"/>
    <w:uiPriority w:val="99"/>
    <w:rPr>
      <w:b/>
      <w:bCs/>
      <w:color w:val="106bbe"/>
    </w:rPr>
  </w:style>
  <w:style w:type="paragraph" w:styleId="1039" w:customStyle="1">
    <w:name w:val="Основной текст3"/>
    <w:link w:val="869"/>
    <w:pPr>
      <w:jc w:val="center"/>
      <w:spacing w:after="30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5"/>
      <w:szCs w:val="25"/>
    </w:rPr>
  </w:style>
  <w:style w:type="table" w:styleId="1040" w:customStyle="1">
    <w:name w:val="Сетка таблицы6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BD00-1D55-4260-9865-77B92120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56</cp:revision>
  <dcterms:created xsi:type="dcterms:W3CDTF">2020-07-30T10:33:00Z</dcterms:created>
  <dcterms:modified xsi:type="dcterms:W3CDTF">2025-06-06T08:02:44Z</dcterms:modified>
</cp:coreProperties>
</file>